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b/>
          <w:sz w:val="32"/>
        </w:rPr>
      </w:pPr>
      <w:r>
        <w:rPr>
          <w:rFonts w:hint="eastAsia"/>
          <w:b/>
          <w:sz w:val="32"/>
        </w:rPr>
        <w:t>电梯维护保养合同</w:t>
      </w:r>
    </w:p>
    <w:p>
      <w:pPr>
        <w:snapToGrid w:val="0"/>
        <w:jc w:val="center"/>
        <w:rPr>
          <w:rFonts w:hint="eastAsia"/>
          <w:b/>
          <w:sz w:val="32"/>
        </w:rPr>
      </w:pPr>
    </w:p>
    <w:p>
      <w:pPr>
        <w:snapToGrid w:val="0"/>
        <w:spacing w:line="360" w:lineRule="auto"/>
        <w:rPr>
          <w:b/>
          <w:bCs/>
          <w:color w:val="000000"/>
          <w:sz w:val="24"/>
        </w:rPr>
      </w:pPr>
      <w:r>
        <w:rPr>
          <w:rFonts w:hint="eastAsia"/>
          <w:b/>
          <w:bCs/>
          <w:color w:val="000000"/>
          <w:sz w:val="24"/>
        </w:rPr>
        <w:t xml:space="preserve">甲方：长沙市人人乐商业有限公司        乙方： </w:t>
      </w:r>
    </w:p>
    <w:p>
      <w:pPr>
        <w:snapToGrid w:val="0"/>
        <w:spacing w:line="360" w:lineRule="auto"/>
        <w:ind w:left="5197" w:hanging="5197" w:hangingChars="2157"/>
        <w:rPr>
          <w:b/>
          <w:bCs/>
          <w:color w:val="000000"/>
          <w:sz w:val="24"/>
        </w:rPr>
      </w:pPr>
      <w:r>
        <w:rPr>
          <w:rFonts w:hint="eastAsia"/>
          <w:b/>
          <w:bCs/>
          <w:color w:val="000000"/>
          <w:sz w:val="24"/>
        </w:rPr>
        <w:t>地址：长沙市岳麓区天</w:t>
      </w:r>
      <w:r>
        <w:rPr>
          <w:rFonts w:hint="eastAsia"/>
          <w:b/>
          <w:bCs/>
          <w:color w:val="000000"/>
          <w:sz w:val="24"/>
          <w:lang w:eastAsia="zh-CN"/>
        </w:rPr>
        <w:t>时代广场</w:t>
      </w:r>
      <w:r>
        <w:rPr>
          <w:b/>
          <w:bCs/>
          <w:color w:val="000000"/>
          <w:sz w:val="24"/>
        </w:rPr>
        <w:t xml:space="preserve"> </w:t>
      </w:r>
      <w:r>
        <w:rPr>
          <w:rFonts w:hint="eastAsia"/>
          <w:b/>
          <w:bCs/>
          <w:color w:val="000000"/>
          <w:sz w:val="24"/>
        </w:rPr>
        <w:t xml:space="preserve">          地址： </w:t>
      </w:r>
    </w:p>
    <w:p>
      <w:pPr>
        <w:snapToGrid w:val="0"/>
        <w:spacing w:line="360" w:lineRule="auto"/>
        <w:rPr>
          <w:rFonts w:hint="eastAsia" w:ascii="Calibri" w:hAnsi="Calibri"/>
          <w:sz w:val="24"/>
        </w:rPr>
      </w:pPr>
      <w:r>
        <w:rPr>
          <w:rFonts w:hint="eastAsia"/>
          <w:b/>
          <w:bCs/>
          <w:color w:val="000000"/>
          <w:sz w:val="24"/>
        </w:rPr>
        <w:t>电话： 1</w:t>
      </w:r>
      <w:r>
        <w:rPr>
          <w:rFonts w:hint="eastAsia"/>
          <w:b/>
          <w:bCs/>
          <w:color w:val="000000"/>
          <w:sz w:val="24"/>
          <w:lang w:val="en-US" w:eastAsia="zh-CN"/>
        </w:rPr>
        <w:t>8824851380</w:t>
      </w:r>
      <w:r>
        <w:rPr>
          <w:b/>
          <w:bCs/>
          <w:color w:val="000000"/>
          <w:sz w:val="24"/>
        </w:rPr>
        <w:t xml:space="preserve">   </w:t>
      </w:r>
      <w:r>
        <w:rPr>
          <w:rFonts w:hint="eastAsia"/>
          <w:b/>
          <w:bCs/>
          <w:color w:val="000000"/>
          <w:sz w:val="24"/>
        </w:rPr>
        <w:t xml:space="preserve">   电话：</w:t>
      </w:r>
    </w:p>
    <w:p>
      <w:pPr>
        <w:snapToGrid w:val="0"/>
        <w:spacing w:line="360" w:lineRule="auto"/>
        <w:rPr>
          <w:rFonts w:hint="eastAsia"/>
          <w:b/>
          <w:bCs/>
          <w:color w:val="000000"/>
          <w:sz w:val="24"/>
        </w:rPr>
      </w:pPr>
      <w:r>
        <w:rPr>
          <w:rFonts w:hint="eastAsia"/>
          <w:b/>
          <w:bCs/>
          <w:color w:val="000000"/>
          <w:sz w:val="24"/>
        </w:rPr>
        <w:t>传真：0731-82974648</w:t>
      </w:r>
      <w:r>
        <w:rPr>
          <w:b/>
          <w:bCs/>
          <w:color w:val="000000"/>
          <w:sz w:val="24"/>
        </w:rPr>
        <w:t xml:space="preserve"> </w:t>
      </w:r>
      <w:bookmarkStart w:id="0" w:name="_GoBack"/>
      <w:bookmarkEnd w:id="0"/>
      <w:r>
        <w:rPr>
          <w:b/>
          <w:bCs/>
          <w:color w:val="000000"/>
          <w:sz w:val="24"/>
        </w:rPr>
        <w:t xml:space="preserve">              </w:t>
      </w:r>
      <w:r>
        <w:rPr>
          <w:rFonts w:hint="eastAsia"/>
          <w:b/>
          <w:bCs/>
          <w:color w:val="000000"/>
          <w:sz w:val="24"/>
        </w:rPr>
        <w:t xml:space="preserve">    传真：</w:t>
      </w:r>
    </w:p>
    <w:p>
      <w:pPr>
        <w:snapToGrid w:val="0"/>
        <w:spacing w:line="360" w:lineRule="auto"/>
        <w:rPr>
          <w:rFonts w:hint="eastAsia"/>
          <w:b/>
          <w:bCs/>
          <w:color w:val="000000"/>
          <w:sz w:val="24"/>
        </w:rPr>
      </w:pPr>
      <w:r>
        <w:rPr>
          <w:rFonts w:hint="eastAsia"/>
          <w:b/>
          <w:bCs/>
          <w:color w:val="000000"/>
          <w:sz w:val="24"/>
        </w:rPr>
        <w:t>联系人：</w:t>
      </w:r>
      <w:r>
        <w:rPr>
          <w:rFonts w:hint="eastAsia"/>
          <w:b/>
          <w:bCs/>
          <w:color w:val="000000"/>
          <w:sz w:val="24"/>
          <w:lang w:eastAsia="zh-CN"/>
        </w:rPr>
        <w:t>赵康健</w:t>
      </w:r>
      <w:r>
        <w:rPr>
          <w:b/>
          <w:bCs/>
          <w:color w:val="000000"/>
          <w:sz w:val="24"/>
        </w:rPr>
        <w:t xml:space="preserve">                       </w:t>
      </w:r>
      <w:r>
        <w:rPr>
          <w:rFonts w:hint="eastAsia"/>
          <w:b/>
          <w:bCs/>
          <w:color w:val="000000"/>
          <w:sz w:val="24"/>
        </w:rPr>
        <w:t xml:space="preserve">联系人： </w:t>
      </w:r>
    </w:p>
    <w:p>
      <w:pPr>
        <w:spacing w:line="360" w:lineRule="auto"/>
        <w:ind w:firstLine="360" w:firstLineChars="150"/>
        <w:rPr>
          <w:rFonts w:hint="eastAsia" w:ascii="宋体" w:hAnsi="宋体"/>
          <w:color w:val="000000"/>
          <w:sz w:val="24"/>
        </w:rPr>
      </w:pPr>
      <w:r>
        <w:rPr>
          <w:rFonts w:hint="eastAsia" w:ascii="宋体" w:hAnsi="宋体"/>
          <w:color w:val="000000"/>
          <w:sz w:val="24"/>
        </w:rPr>
        <w:t>经甲、乙双方友好协商，甲方委托乙方对甲方</w:t>
      </w:r>
      <w:r>
        <w:rPr>
          <w:rFonts w:hint="eastAsia" w:ascii="楷体_GB2312"/>
          <w:color w:val="000000"/>
          <w:sz w:val="24"/>
        </w:rPr>
        <w:t>长沙市人人乐商业有限公司</w:t>
      </w:r>
      <w:r>
        <w:rPr>
          <w:rFonts w:hint="eastAsia" w:ascii="宋体" w:hAnsi="宋体"/>
          <w:color w:val="000000"/>
          <w:sz w:val="24"/>
        </w:rPr>
        <w:t>下属</w:t>
      </w:r>
      <w:r>
        <w:rPr>
          <w:rFonts w:hint="eastAsia" w:ascii="宋体" w:hAnsi="宋体"/>
          <w:sz w:val="24"/>
        </w:rPr>
        <w:t xml:space="preserve">   家门店的</w:t>
      </w:r>
      <w:r>
        <w:rPr>
          <w:rFonts w:hint="eastAsia" w:ascii="宋体" w:hAnsi="宋体"/>
          <w:sz w:val="24"/>
          <w:lang w:val="en-US" w:eastAsia="zh-CN"/>
        </w:rPr>
        <w:t>16</w:t>
      </w:r>
      <w:r>
        <w:rPr>
          <w:rFonts w:hint="eastAsia" w:ascii="宋体" w:hAnsi="宋体"/>
          <w:sz w:val="24"/>
        </w:rPr>
        <w:t>台自动人行道、8 台自动扶梯、1</w:t>
      </w:r>
      <w:r>
        <w:rPr>
          <w:rFonts w:hint="eastAsia" w:ascii="宋体" w:hAnsi="宋体"/>
          <w:sz w:val="24"/>
          <w:lang w:val="en-US" w:eastAsia="zh-CN"/>
        </w:rPr>
        <w:t>1</w:t>
      </w:r>
      <w:r>
        <w:rPr>
          <w:rFonts w:hint="eastAsia" w:ascii="宋体" w:hAnsi="宋体"/>
          <w:sz w:val="24"/>
        </w:rPr>
        <w:t xml:space="preserve"> 台货/客梯进行</w:t>
      </w:r>
      <w:r>
        <w:rPr>
          <w:rFonts w:hint="eastAsia" w:ascii="宋体" w:hAnsi="宋体"/>
          <w:color w:val="000000"/>
          <w:sz w:val="24"/>
        </w:rPr>
        <w:t>维护、保养服务，</w:t>
      </w:r>
      <w:r>
        <w:rPr>
          <w:rFonts w:hint="eastAsia" w:ascii="宋体" w:hAnsi="宋体"/>
          <w:sz w:val="24"/>
        </w:rPr>
        <w:t>为明确双方权利、</w:t>
      </w:r>
      <w:r>
        <w:rPr>
          <w:rFonts w:hint="eastAsia" w:ascii="宋体" w:hAnsi="宋体"/>
          <w:color w:val="000000"/>
          <w:sz w:val="24"/>
        </w:rPr>
        <w:t>义务和责任特签订本合同。</w:t>
      </w:r>
    </w:p>
    <w:p>
      <w:pPr>
        <w:spacing w:line="360" w:lineRule="auto"/>
        <w:ind w:left="-405" w:leftChars="-193" w:firstLine="480" w:firstLineChars="200"/>
        <w:rPr>
          <w:rFonts w:hint="eastAsia" w:ascii="宋体" w:hAnsi="宋体"/>
          <w:sz w:val="24"/>
        </w:rPr>
      </w:pPr>
      <w:r>
        <w:rPr>
          <w:rFonts w:hint="eastAsia" w:ascii="宋体" w:hAnsi="宋体"/>
          <w:sz w:val="24"/>
        </w:rPr>
        <w:t xml:space="preserve">合同中所列电梯的服务地址为：长沙市人人乐各门店，现场联系人： </w:t>
      </w:r>
    </w:p>
    <w:p>
      <w:pPr>
        <w:spacing w:line="360" w:lineRule="auto"/>
        <w:rPr>
          <w:rFonts w:ascii="宋体" w:hAnsi="宋体"/>
          <w:sz w:val="24"/>
        </w:rPr>
      </w:pPr>
      <w:r>
        <w:rPr>
          <w:rFonts w:hint="eastAsia" w:ascii="宋体" w:hAnsi="宋体"/>
          <w:color w:val="000000"/>
          <w:sz w:val="24"/>
        </w:rPr>
        <w:t>一、电梯</w:t>
      </w:r>
      <w:r>
        <w:rPr>
          <w:rFonts w:hint="eastAsia" w:ascii="宋体" w:hAnsi="宋体"/>
          <w:sz w:val="24"/>
        </w:rPr>
        <w:t>明细及服务费用：</w:t>
      </w:r>
    </w:p>
    <w:tbl>
      <w:tblPr>
        <w:tblStyle w:val="4"/>
        <w:tblW w:w="0" w:type="auto"/>
        <w:tblInd w:w="0" w:type="dxa"/>
        <w:tblLayout w:type="fixed"/>
        <w:tblCellMar>
          <w:top w:w="0" w:type="dxa"/>
          <w:left w:w="108" w:type="dxa"/>
          <w:bottom w:w="0" w:type="dxa"/>
          <w:right w:w="108" w:type="dxa"/>
        </w:tblCellMar>
      </w:tblPr>
      <w:tblGrid>
        <w:gridCol w:w="1455"/>
        <w:gridCol w:w="1110"/>
        <w:gridCol w:w="2145"/>
        <w:gridCol w:w="2790"/>
      </w:tblGrid>
      <w:tr>
        <w:tblPrEx>
          <w:tblCellMar>
            <w:top w:w="0" w:type="dxa"/>
            <w:left w:w="108" w:type="dxa"/>
            <w:bottom w:w="0" w:type="dxa"/>
            <w:right w:w="108" w:type="dxa"/>
          </w:tblCellMar>
        </w:tblPrEx>
        <w:trPr>
          <w:trHeight w:val="570" w:hRule="atLeast"/>
        </w:trPr>
        <w:tc>
          <w:tcPr>
            <w:tcW w:w="1455" w:type="dxa"/>
            <w:tcBorders>
              <w:top w:val="single" w:color="000000" w:sz="4" w:space="0"/>
              <w:left w:val="single" w:color="000000" w:sz="4" w:space="0"/>
              <w:bottom w:val="single" w:color="000000" w:sz="4" w:space="0"/>
              <w:right w:val="single" w:color="000000" w:sz="4" w:space="0"/>
            </w:tcBorders>
            <w:vAlign w:val="center"/>
          </w:tcPr>
          <w:p>
            <w:pPr>
              <w:autoSpaceDN w:val="0"/>
              <w:jc w:val="center"/>
              <w:textAlignment w:val="center"/>
              <w:rPr>
                <w:rFonts w:ascii="楷体"/>
                <w:color w:val="000000"/>
                <w:sz w:val="22"/>
              </w:rPr>
            </w:pPr>
            <w:r>
              <w:rPr>
                <w:rFonts w:ascii="楷体" w:hAnsi="楷体" w:eastAsia="楷体"/>
                <w:color w:val="000000"/>
                <w:sz w:val="22"/>
              </w:rPr>
              <w:t>电梯编号</w:t>
            </w:r>
          </w:p>
        </w:tc>
        <w:tc>
          <w:tcPr>
            <w:tcW w:w="1110" w:type="dxa"/>
            <w:tcBorders>
              <w:top w:val="single" w:color="000000" w:sz="4" w:space="0"/>
              <w:bottom w:val="single" w:color="000000" w:sz="4" w:space="0"/>
              <w:right w:val="single" w:color="000000" w:sz="4" w:space="0"/>
            </w:tcBorders>
            <w:vAlign w:val="center"/>
          </w:tcPr>
          <w:p>
            <w:pPr>
              <w:autoSpaceDN w:val="0"/>
              <w:jc w:val="center"/>
              <w:textAlignment w:val="center"/>
              <w:rPr>
                <w:rFonts w:ascii="楷体"/>
                <w:color w:val="000000"/>
                <w:sz w:val="22"/>
              </w:rPr>
            </w:pPr>
            <w:r>
              <w:rPr>
                <w:rFonts w:ascii="楷体" w:hAnsi="楷体" w:eastAsia="楷体"/>
                <w:color w:val="000000"/>
                <w:sz w:val="22"/>
              </w:rPr>
              <w:t xml:space="preserve">台数 </w:t>
            </w:r>
          </w:p>
        </w:tc>
        <w:tc>
          <w:tcPr>
            <w:tcW w:w="2145" w:type="dxa"/>
            <w:tcBorders>
              <w:top w:val="single" w:color="000000" w:sz="4" w:space="0"/>
              <w:bottom w:val="single" w:color="000000" w:sz="4" w:space="0"/>
              <w:right w:val="single" w:color="000000" w:sz="4" w:space="0"/>
            </w:tcBorders>
            <w:vAlign w:val="center"/>
          </w:tcPr>
          <w:p>
            <w:pPr>
              <w:autoSpaceDN w:val="0"/>
              <w:jc w:val="center"/>
              <w:textAlignment w:val="center"/>
              <w:rPr>
                <w:rFonts w:ascii="楷体"/>
                <w:color w:val="000000"/>
                <w:sz w:val="22"/>
              </w:rPr>
            </w:pPr>
            <w:r>
              <w:rPr>
                <w:rFonts w:ascii="楷体" w:hAnsi="楷体" w:eastAsia="楷体"/>
                <w:color w:val="000000"/>
                <w:sz w:val="22"/>
              </w:rPr>
              <w:t>每台电梯年维保费(人民币)</w:t>
            </w:r>
          </w:p>
        </w:tc>
        <w:tc>
          <w:tcPr>
            <w:tcW w:w="2790" w:type="dxa"/>
            <w:tcBorders>
              <w:top w:val="single" w:color="000000" w:sz="4" w:space="0"/>
              <w:bottom w:val="single" w:color="000000" w:sz="4" w:space="0"/>
              <w:right w:val="single" w:color="000000" w:sz="4" w:space="0"/>
            </w:tcBorders>
            <w:vAlign w:val="center"/>
          </w:tcPr>
          <w:p>
            <w:pPr>
              <w:autoSpaceDN w:val="0"/>
              <w:jc w:val="center"/>
              <w:textAlignment w:val="center"/>
              <w:rPr>
                <w:rFonts w:ascii="楷体"/>
                <w:color w:val="000000"/>
                <w:sz w:val="22"/>
              </w:rPr>
            </w:pPr>
            <w:r>
              <w:rPr>
                <w:rFonts w:ascii="楷体" w:hAnsi="楷体" w:eastAsia="楷体"/>
                <w:color w:val="000000"/>
                <w:sz w:val="22"/>
              </w:rPr>
              <w:t>小计(人民币)</w:t>
            </w:r>
          </w:p>
        </w:tc>
      </w:tr>
      <w:tr>
        <w:tblPrEx>
          <w:tblCellMar>
            <w:top w:w="0" w:type="dxa"/>
            <w:left w:w="108" w:type="dxa"/>
            <w:bottom w:w="0" w:type="dxa"/>
            <w:right w:w="108" w:type="dxa"/>
          </w:tblCellMar>
        </w:tblPrEx>
        <w:trPr>
          <w:trHeight w:val="390" w:hRule="atLeast"/>
        </w:trPr>
        <w:tc>
          <w:tcPr>
            <w:tcW w:w="1455" w:type="dxa"/>
            <w:tcBorders>
              <w:left w:val="single" w:color="000000" w:sz="4" w:space="0"/>
              <w:bottom w:val="single" w:color="000000" w:sz="4" w:space="0"/>
              <w:right w:val="single" w:color="000000" w:sz="4" w:space="0"/>
            </w:tcBorders>
            <w:vAlign w:val="center"/>
          </w:tcPr>
          <w:p>
            <w:pPr>
              <w:autoSpaceDN w:val="0"/>
              <w:jc w:val="center"/>
              <w:textAlignment w:val="center"/>
              <w:rPr>
                <w:rFonts w:ascii="楷体"/>
                <w:color w:val="000000"/>
                <w:sz w:val="22"/>
              </w:rPr>
            </w:pPr>
            <w:r>
              <w:rPr>
                <w:rFonts w:ascii="楷体" w:hAnsi="楷体" w:eastAsia="楷体"/>
                <w:color w:val="000000"/>
                <w:sz w:val="22"/>
              </w:rPr>
              <w:t>自动人行道</w:t>
            </w:r>
          </w:p>
        </w:tc>
        <w:tc>
          <w:tcPr>
            <w:tcW w:w="1110" w:type="dxa"/>
            <w:tcBorders>
              <w:bottom w:val="single" w:color="000000" w:sz="4" w:space="0"/>
              <w:right w:val="single" w:color="000000" w:sz="4" w:space="0"/>
            </w:tcBorders>
            <w:vAlign w:val="center"/>
          </w:tcPr>
          <w:p>
            <w:pPr>
              <w:autoSpaceDN w:val="0"/>
              <w:jc w:val="center"/>
              <w:textAlignment w:val="center"/>
              <w:rPr>
                <w:rFonts w:hint="default" w:ascii="楷体" w:eastAsia="宋体"/>
                <w:color w:val="000000"/>
                <w:sz w:val="22"/>
                <w:lang w:val="en-US" w:eastAsia="zh-CN"/>
              </w:rPr>
            </w:pPr>
            <w:r>
              <w:rPr>
                <w:rFonts w:hint="eastAsia" w:ascii="楷体"/>
                <w:color w:val="000000"/>
                <w:sz w:val="22"/>
                <w:lang w:val="en-US" w:eastAsia="zh-CN"/>
              </w:rPr>
              <w:t>16</w:t>
            </w:r>
          </w:p>
        </w:tc>
        <w:tc>
          <w:tcPr>
            <w:tcW w:w="2145" w:type="dxa"/>
            <w:tcBorders>
              <w:bottom w:val="single" w:color="000000" w:sz="4" w:space="0"/>
              <w:right w:val="single" w:color="000000" w:sz="4" w:space="0"/>
            </w:tcBorders>
            <w:vAlign w:val="center"/>
          </w:tcPr>
          <w:p>
            <w:pPr>
              <w:autoSpaceDN w:val="0"/>
              <w:jc w:val="center"/>
              <w:textAlignment w:val="center"/>
              <w:rPr>
                <w:rFonts w:hint="eastAsia" w:ascii="楷体"/>
                <w:color w:val="000000"/>
                <w:sz w:val="22"/>
              </w:rPr>
            </w:pPr>
          </w:p>
        </w:tc>
        <w:tc>
          <w:tcPr>
            <w:tcW w:w="2790" w:type="dxa"/>
            <w:tcBorders>
              <w:bottom w:val="single" w:color="000000" w:sz="4" w:space="0"/>
              <w:right w:val="single" w:color="000000" w:sz="4" w:space="0"/>
            </w:tcBorders>
            <w:vAlign w:val="center"/>
          </w:tcPr>
          <w:p>
            <w:pPr>
              <w:autoSpaceDN w:val="0"/>
              <w:jc w:val="center"/>
              <w:textAlignment w:val="center"/>
              <w:rPr>
                <w:rFonts w:hint="eastAsia" w:ascii="楷体"/>
                <w:color w:val="000000"/>
                <w:sz w:val="22"/>
              </w:rPr>
            </w:pPr>
          </w:p>
        </w:tc>
      </w:tr>
      <w:tr>
        <w:tblPrEx>
          <w:tblCellMar>
            <w:top w:w="0" w:type="dxa"/>
            <w:left w:w="108" w:type="dxa"/>
            <w:bottom w:w="0" w:type="dxa"/>
            <w:right w:w="108" w:type="dxa"/>
          </w:tblCellMar>
        </w:tblPrEx>
        <w:trPr>
          <w:trHeight w:val="390" w:hRule="atLeast"/>
        </w:trPr>
        <w:tc>
          <w:tcPr>
            <w:tcW w:w="1455" w:type="dxa"/>
            <w:tcBorders>
              <w:left w:val="single" w:color="000000" w:sz="4" w:space="0"/>
              <w:bottom w:val="single" w:color="000000" w:sz="4" w:space="0"/>
              <w:right w:val="single" w:color="000000" w:sz="4" w:space="0"/>
            </w:tcBorders>
            <w:vAlign w:val="center"/>
          </w:tcPr>
          <w:p>
            <w:pPr>
              <w:autoSpaceDN w:val="0"/>
              <w:jc w:val="center"/>
              <w:textAlignment w:val="center"/>
              <w:rPr>
                <w:rFonts w:ascii="楷体"/>
                <w:color w:val="000000"/>
                <w:sz w:val="22"/>
              </w:rPr>
            </w:pPr>
            <w:r>
              <w:rPr>
                <w:rFonts w:ascii="楷体" w:hAnsi="楷体" w:eastAsia="楷体"/>
                <w:color w:val="000000"/>
                <w:sz w:val="22"/>
              </w:rPr>
              <w:t>自动扶梯</w:t>
            </w:r>
          </w:p>
        </w:tc>
        <w:tc>
          <w:tcPr>
            <w:tcW w:w="1110" w:type="dxa"/>
            <w:tcBorders>
              <w:bottom w:val="single" w:color="000000" w:sz="4" w:space="0"/>
              <w:right w:val="single" w:color="000000" w:sz="4" w:space="0"/>
            </w:tcBorders>
            <w:vAlign w:val="center"/>
          </w:tcPr>
          <w:p>
            <w:pPr>
              <w:autoSpaceDN w:val="0"/>
              <w:jc w:val="center"/>
              <w:textAlignment w:val="center"/>
              <w:rPr>
                <w:rFonts w:ascii="楷体"/>
                <w:color w:val="000000"/>
                <w:sz w:val="22"/>
              </w:rPr>
            </w:pPr>
            <w:r>
              <w:rPr>
                <w:rFonts w:hint="eastAsia" w:ascii="楷体" w:hAnsi="楷体" w:eastAsia="楷体"/>
                <w:color w:val="000000"/>
                <w:sz w:val="22"/>
              </w:rPr>
              <w:t xml:space="preserve">8 </w:t>
            </w:r>
          </w:p>
        </w:tc>
        <w:tc>
          <w:tcPr>
            <w:tcW w:w="2145" w:type="dxa"/>
            <w:tcBorders>
              <w:bottom w:val="single" w:color="000000" w:sz="4" w:space="0"/>
              <w:right w:val="single" w:color="000000" w:sz="4" w:space="0"/>
            </w:tcBorders>
            <w:vAlign w:val="center"/>
          </w:tcPr>
          <w:p>
            <w:pPr>
              <w:autoSpaceDN w:val="0"/>
              <w:jc w:val="center"/>
              <w:textAlignment w:val="center"/>
              <w:rPr>
                <w:rFonts w:hint="eastAsia" w:ascii="楷体"/>
                <w:color w:val="000000"/>
                <w:sz w:val="22"/>
              </w:rPr>
            </w:pPr>
          </w:p>
        </w:tc>
        <w:tc>
          <w:tcPr>
            <w:tcW w:w="2790" w:type="dxa"/>
            <w:tcBorders>
              <w:bottom w:val="single" w:color="000000" w:sz="4" w:space="0"/>
              <w:right w:val="single" w:color="000000" w:sz="4" w:space="0"/>
            </w:tcBorders>
            <w:vAlign w:val="center"/>
          </w:tcPr>
          <w:p>
            <w:pPr>
              <w:autoSpaceDN w:val="0"/>
              <w:jc w:val="center"/>
              <w:textAlignment w:val="center"/>
              <w:rPr>
                <w:rFonts w:hint="eastAsia" w:ascii="楷体"/>
                <w:color w:val="000000"/>
                <w:sz w:val="22"/>
              </w:rPr>
            </w:pPr>
          </w:p>
        </w:tc>
      </w:tr>
      <w:tr>
        <w:tblPrEx>
          <w:tblCellMar>
            <w:top w:w="0" w:type="dxa"/>
            <w:left w:w="108" w:type="dxa"/>
            <w:bottom w:w="0" w:type="dxa"/>
            <w:right w:w="108" w:type="dxa"/>
          </w:tblCellMar>
        </w:tblPrEx>
        <w:trPr>
          <w:trHeight w:val="390" w:hRule="atLeast"/>
        </w:trPr>
        <w:tc>
          <w:tcPr>
            <w:tcW w:w="1455" w:type="dxa"/>
            <w:tcBorders>
              <w:left w:val="single" w:color="000000" w:sz="4" w:space="0"/>
              <w:bottom w:val="single" w:color="000000" w:sz="4" w:space="0"/>
              <w:right w:val="single" w:color="000000" w:sz="4" w:space="0"/>
            </w:tcBorders>
            <w:vAlign w:val="center"/>
          </w:tcPr>
          <w:p>
            <w:pPr>
              <w:autoSpaceDN w:val="0"/>
              <w:jc w:val="center"/>
              <w:textAlignment w:val="center"/>
              <w:rPr>
                <w:rFonts w:ascii="楷体"/>
                <w:color w:val="000000"/>
                <w:sz w:val="22"/>
              </w:rPr>
            </w:pPr>
            <w:r>
              <w:rPr>
                <w:rFonts w:ascii="楷体" w:hAnsi="楷体" w:eastAsia="楷体"/>
                <w:color w:val="000000"/>
                <w:sz w:val="22"/>
              </w:rPr>
              <w:t>货梯</w:t>
            </w:r>
            <w:r>
              <w:rPr>
                <w:rFonts w:hint="eastAsia" w:ascii="楷体" w:hAnsi="楷体" w:eastAsia="楷体"/>
                <w:color w:val="000000"/>
                <w:sz w:val="22"/>
              </w:rPr>
              <w:t>\客梯</w:t>
            </w:r>
          </w:p>
        </w:tc>
        <w:tc>
          <w:tcPr>
            <w:tcW w:w="1110" w:type="dxa"/>
            <w:tcBorders>
              <w:bottom w:val="single" w:color="000000" w:sz="4" w:space="0"/>
              <w:right w:val="single" w:color="000000" w:sz="4" w:space="0"/>
            </w:tcBorders>
            <w:vAlign w:val="center"/>
          </w:tcPr>
          <w:p>
            <w:pPr>
              <w:autoSpaceDN w:val="0"/>
              <w:jc w:val="center"/>
              <w:textAlignment w:val="center"/>
              <w:rPr>
                <w:rFonts w:hint="default" w:ascii="楷体" w:eastAsia="楷体"/>
                <w:color w:val="000000"/>
                <w:sz w:val="22"/>
                <w:lang w:val="en-US" w:eastAsia="zh-CN"/>
              </w:rPr>
            </w:pPr>
            <w:r>
              <w:rPr>
                <w:rFonts w:hint="eastAsia" w:ascii="楷体" w:hAnsi="楷体" w:eastAsia="楷体"/>
                <w:color w:val="000000"/>
                <w:sz w:val="22"/>
              </w:rPr>
              <w:t>1</w:t>
            </w:r>
            <w:r>
              <w:rPr>
                <w:rFonts w:hint="eastAsia" w:ascii="楷体" w:hAnsi="楷体" w:eastAsia="楷体"/>
                <w:color w:val="000000"/>
                <w:sz w:val="22"/>
                <w:lang w:val="en-US" w:eastAsia="zh-CN"/>
              </w:rPr>
              <w:t>1</w:t>
            </w:r>
          </w:p>
        </w:tc>
        <w:tc>
          <w:tcPr>
            <w:tcW w:w="2145" w:type="dxa"/>
            <w:tcBorders>
              <w:bottom w:val="single" w:color="000000" w:sz="4" w:space="0"/>
              <w:right w:val="single" w:color="000000" w:sz="4" w:space="0"/>
            </w:tcBorders>
            <w:vAlign w:val="center"/>
          </w:tcPr>
          <w:p>
            <w:pPr>
              <w:autoSpaceDN w:val="0"/>
              <w:jc w:val="center"/>
              <w:textAlignment w:val="center"/>
              <w:rPr>
                <w:rFonts w:hint="eastAsia" w:ascii="楷体"/>
                <w:color w:val="000000"/>
                <w:sz w:val="22"/>
              </w:rPr>
            </w:pPr>
          </w:p>
        </w:tc>
        <w:tc>
          <w:tcPr>
            <w:tcW w:w="2790" w:type="dxa"/>
            <w:tcBorders>
              <w:bottom w:val="single" w:color="000000" w:sz="4" w:space="0"/>
              <w:right w:val="single" w:color="000000" w:sz="4" w:space="0"/>
            </w:tcBorders>
            <w:vAlign w:val="center"/>
          </w:tcPr>
          <w:p>
            <w:pPr>
              <w:autoSpaceDN w:val="0"/>
              <w:jc w:val="center"/>
              <w:textAlignment w:val="center"/>
              <w:rPr>
                <w:rFonts w:hint="eastAsia" w:ascii="楷体"/>
                <w:color w:val="000000"/>
                <w:sz w:val="22"/>
              </w:rPr>
            </w:pPr>
          </w:p>
        </w:tc>
      </w:tr>
      <w:tr>
        <w:tblPrEx>
          <w:tblCellMar>
            <w:top w:w="0" w:type="dxa"/>
            <w:left w:w="108" w:type="dxa"/>
            <w:bottom w:w="0" w:type="dxa"/>
            <w:right w:w="108" w:type="dxa"/>
          </w:tblCellMar>
        </w:tblPrEx>
        <w:trPr>
          <w:trHeight w:val="600" w:hRule="atLeast"/>
        </w:trPr>
        <w:tc>
          <w:tcPr>
            <w:tcW w:w="1455" w:type="dxa"/>
            <w:tcBorders>
              <w:left w:val="single" w:color="000000" w:sz="4" w:space="0"/>
              <w:bottom w:val="single" w:color="000000" w:sz="4" w:space="0"/>
              <w:right w:val="single" w:color="000000" w:sz="4" w:space="0"/>
            </w:tcBorders>
            <w:vAlign w:val="center"/>
          </w:tcPr>
          <w:p>
            <w:pPr>
              <w:autoSpaceDN w:val="0"/>
              <w:jc w:val="center"/>
              <w:textAlignment w:val="center"/>
              <w:rPr>
                <w:rFonts w:ascii="楷体"/>
                <w:b/>
                <w:color w:val="000000"/>
                <w:sz w:val="22"/>
              </w:rPr>
            </w:pPr>
            <w:r>
              <w:rPr>
                <w:rFonts w:ascii="楷体" w:hAnsi="楷体" w:eastAsia="楷体"/>
                <w:b/>
                <w:color w:val="000000"/>
                <w:sz w:val="22"/>
              </w:rPr>
              <w:t>总计(人民币)</w:t>
            </w:r>
          </w:p>
        </w:tc>
        <w:tc>
          <w:tcPr>
            <w:tcW w:w="6045" w:type="dxa"/>
            <w:gridSpan w:val="3"/>
            <w:tcBorders>
              <w:bottom w:val="single" w:color="000000" w:sz="4" w:space="0"/>
              <w:right w:val="single" w:color="000000" w:sz="4" w:space="0"/>
            </w:tcBorders>
            <w:vAlign w:val="center"/>
          </w:tcPr>
          <w:p>
            <w:pPr>
              <w:autoSpaceDN w:val="0"/>
              <w:jc w:val="center"/>
              <w:textAlignment w:val="center"/>
              <w:rPr>
                <w:rFonts w:ascii="楷体"/>
                <w:b/>
                <w:color w:val="000000"/>
                <w:sz w:val="20"/>
              </w:rPr>
            </w:pPr>
          </w:p>
        </w:tc>
      </w:tr>
    </w:tbl>
    <w:p>
      <w:pPr>
        <w:spacing w:line="360" w:lineRule="auto"/>
        <w:rPr>
          <w:rFonts w:hint="eastAsia" w:ascii="宋体" w:hAnsi="宋体"/>
          <w:sz w:val="24"/>
        </w:rPr>
      </w:pPr>
    </w:p>
    <w:p>
      <w:pPr>
        <w:spacing w:line="360" w:lineRule="auto"/>
        <w:rPr>
          <w:rFonts w:hint="eastAsia" w:ascii="宋体" w:hAnsi="宋体"/>
          <w:sz w:val="24"/>
        </w:rPr>
      </w:pPr>
      <w:r>
        <w:rPr>
          <w:rFonts w:hint="eastAsia" w:ascii="宋体" w:hAnsi="宋体"/>
          <w:sz w:val="24"/>
        </w:rPr>
        <w:t>二、服务时间：从 202</w:t>
      </w:r>
      <w:r>
        <w:rPr>
          <w:rFonts w:hint="eastAsia" w:ascii="宋体" w:hAnsi="宋体"/>
          <w:sz w:val="24"/>
          <w:lang w:val="en-US" w:eastAsia="zh-CN"/>
        </w:rPr>
        <w:t>3</w:t>
      </w:r>
      <w:r>
        <w:rPr>
          <w:rFonts w:hint="eastAsia" w:ascii="宋体" w:hAnsi="宋体"/>
          <w:sz w:val="24"/>
        </w:rPr>
        <w:t xml:space="preserve">年 </w:t>
      </w:r>
      <w:r>
        <w:rPr>
          <w:rFonts w:hint="eastAsia" w:ascii="宋体" w:hAnsi="宋体"/>
          <w:sz w:val="24"/>
          <w:lang w:val="en-US" w:eastAsia="zh-CN"/>
        </w:rPr>
        <w:t>7</w:t>
      </w:r>
      <w:r>
        <w:rPr>
          <w:rFonts w:hint="eastAsia" w:ascii="宋体" w:hAnsi="宋体"/>
          <w:sz w:val="24"/>
        </w:rPr>
        <w:t xml:space="preserve"> 月 </w:t>
      </w:r>
      <w:r>
        <w:rPr>
          <w:rFonts w:hint="eastAsia" w:ascii="宋体" w:hAnsi="宋体"/>
          <w:sz w:val="24"/>
          <w:lang w:val="en-US" w:eastAsia="zh-CN"/>
        </w:rPr>
        <w:t>24</w:t>
      </w:r>
      <w:r>
        <w:rPr>
          <w:rFonts w:hint="eastAsia" w:ascii="宋体" w:hAnsi="宋体"/>
          <w:sz w:val="24"/>
        </w:rPr>
        <w:t xml:space="preserve"> 日开始至  202</w:t>
      </w:r>
      <w:r>
        <w:rPr>
          <w:rFonts w:hint="eastAsia" w:ascii="宋体" w:hAnsi="宋体"/>
          <w:sz w:val="24"/>
          <w:lang w:val="en-US" w:eastAsia="zh-CN"/>
        </w:rPr>
        <w:t>4</w:t>
      </w:r>
      <w:r>
        <w:rPr>
          <w:rFonts w:hint="eastAsia" w:ascii="宋体" w:hAnsi="宋体"/>
          <w:sz w:val="24"/>
        </w:rPr>
        <w:t xml:space="preserve">年 </w:t>
      </w:r>
      <w:r>
        <w:rPr>
          <w:rFonts w:hint="eastAsia" w:ascii="宋体" w:hAnsi="宋体"/>
          <w:sz w:val="24"/>
          <w:lang w:val="en-US" w:eastAsia="zh-CN"/>
        </w:rPr>
        <w:t>7</w:t>
      </w:r>
      <w:r>
        <w:rPr>
          <w:rFonts w:hint="eastAsia" w:ascii="宋体" w:hAnsi="宋体"/>
          <w:sz w:val="24"/>
        </w:rPr>
        <w:t xml:space="preserve">月 </w:t>
      </w:r>
      <w:r>
        <w:rPr>
          <w:rFonts w:hint="eastAsia" w:ascii="宋体" w:hAnsi="宋体"/>
          <w:sz w:val="24"/>
          <w:lang w:val="en-US" w:eastAsia="zh-CN"/>
        </w:rPr>
        <w:t>23</w:t>
      </w:r>
      <w:r>
        <w:rPr>
          <w:rFonts w:hint="eastAsia" w:ascii="宋体" w:hAnsi="宋体"/>
          <w:sz w:val="24"/>
        </w:rPr>
        <w:t>日结束，合同期为壹年，合同执行期间，一方如欲提前终止合同，应提前30天以书面形式通知另一方。合同解除后十五个工作日内，双方结清所有款项及交接项目。</w:t>
      </w:r>
    </w:p>
    <w:p>
      <w:pPr>
        <w:spacing w:line="360" w:lineRule="auto"/>
        <w:rPr>
          <w:rFonts w:hint="eastAsia" w:ascii="宋体" w:hAnsi="宋体"/>
          <w:sz w:val="24"/>
        </w:rPr>
      </w:pPr>
      <w:r>
        <w:rPr>
          <w:rFonts w:hint="eastAsia" w:ascii="宋体" w:hAnsi="宋体"/>
          <w:sz w:val="24"/>
        </w:rPr>
        <w:t>三、付款方式：</w:t>
      </w:r>
    </w:p>
    <w:p>
      <w:pPr>
        <w:widowControl/>
        <w:spacing w:line="360" w:lineRule="auto"/>
        <w:rPr>
          <w:rFonts w:hint="eastAsia" w:ascii="楷体_GB2312"/>
          <w:color w:val="000000"/>
          <w:sz w:val="24"/>
        </w:rPr>
      </w:pPr>
      <w:r>
        <w:rPr>
          <w:rFonts w:hint="eastAsia" w:ascii="宋体" w:hAnsi="宋体"/>
          <w:kern w:val="0"/>
          <w:sz w:val="24"/>
        </w:rPr>
        <w:t>1、</w:t>
      </w:r>
      <w:r>
        <w:rPr>
          <w:rFonts w:hint="eastAsia" w:ascii="楷体_GB2312"/>
          <w:color w:val="000000"/>
          <w:sz w:val="24"/>
        </w:rPr>
        <w:t>维保费分4次结算，</w:t>
      </w:r>
      <w:r>
        <w:rPr>
          <w:rFonts w:ascii="楷体_GB2312"/>
          <w:color w:val="000000"/>
          <w:sz w:val="24"/>
        </w:rPr>
        <w:t>每</w:t>
      </w:r>
      <w:r>
        <w:rPr>
          <w:rFonts w:hint="eastAsia" w:ascii="楷体_GB2312"/>
          <w:color w:val="000000"/>
          <w:sz w:val="24"/>
        </w:rPr>
        <w:t>季度</w:t>
      </w:r>
      <w:r>
        <w:rPr>
          <w:rFonts w:ascii="楷体_GB2312"/>
          <w:color w:val="000000"/>
          <w:sz w:val="24"/>
        </w:rPr>
        <w:t>支付一次</w:t>
      </w:r>
      <w:r>
        <w:rPr>
          <w:rFonts w:hint="eastAsia" w:ascii="楷体_GB2312"/>
          <w:color w:val="000000"/>
          <w:sz w:val="24"/>
        </w:rPr>
        <w:t>。如乙方按照合同约定履行了电梯维保服务，</w:t>
      </w:r>
      <w:r>
        <w:rPr>
          <w:rFonts w:ascii="楷体_GB2312"/>
          <w:color w:val="000000"/>
          <w:sz w:val="24"/>
        </w:rPr>
        <w:t>每</w:t>
      </w:r>
      <w:r>
        <w:rPr>
          <w:rFonts w:hint="eastAsia" w:ascii="楷体_GB2312"/>
          <w:color w:val="000000"/>
          <w:sz w:val="24"/>
        </w:rPr>
        <w:t>季度</w:t>
      </w:r>
      <w:r>
        <w:rPr>
          <w:rFonts w:ascii="楷体_GB2312"/>
          <w:color w:val="000000"/>
          <w:sz w:val="24"/>
        </w:rPr>
        <w:t>结束后的15个工作日内</w:t>
      </w:r>
      <w:r>
        <w:rPr>
          <w:rFonts w:hint="eastAsia" w:ascii="楷体_GB2312"/>
          <w:color w:val="000000"/>
          <w:sz w:val="24"/>
        </w:rPr>
        <w:t>，</w:t>
      </w:r>
      <w:r>
        <w:rPr>
          <w:rFonts w:ascii="楷体_GB2312"/>
          <w:color w:val="000000"/>
          <w:sz w:val="24"/>
        </w:rPr>
        <w:t>乙方</w:t>
      </w:r>
      <w:r>
        <w:rPr>
          <w:rFonts w:hint="eastAsia" w:ascii="楷体_GB2312"/>
          <w:color w:val="000000"/>
          <w:sz w:val="24"/>
        </w:rPr>
        <w:t>需提供</w:t>
      </w:r>
      <w:r>
        <w:rPr>
          <w:rFonts w:ascii="楷体_GB2312"/>
          <w:color w:val="000000"/>
          <w:sz w:val="24"/>
        </w:rPr>
        <w:t>甲方签字</w:t>
      </w:r>
      <w:r>
        <w:rPr>
          <w:rFonts w:hint="eastAsia" w:ascii="楷体_GB2312"/>
          <w:color w:val="000000"/>
          <w:sz w:val="24"/>
        </w:rPr>
        <w:t>确认</w:t>
      </w:r>
      <w:r>
        <w:rPr>
          <w:rFonts w:ascii="楷体_GB2312"/>
          <w:color w:val="000000"/>
          <w:sz w:val="24"/>
        </w:rPr>
        <w:t>的例行保养维护单及</w:t>
      </w:r>
      <w:r>
        <w:rPr>
          <w:rFonts w:hint="eastAsia" w:ascii="楷体_GB2312"/>
          <w:color w:val="000000"/>
          <w:sz w:val="24"/>
        </w:rPr>
        <w:t>开具6%的增值税专用</w:t>
      </w:r>
      <w:r>
        <w:rPr>
          <w:rFonts w:ascii="楷体_GB2312"/>
          <w:color w:val="000000"/>
          <w:sz w:val="24"/>
        </w:rPr>
        <w:t>发票</w:t>
      </w:r>
      <w:r>
        <w:rPr>
          <w:rFonts w:hint="eastAsia" w:ascii="楷体_GB2312"/>
          <w:color w:val="000000"/>
          <w:sz w:val="24"/>
        </w:rPr>
        <w:t xml:space="preserve">，甲方向乙方支付合同总额的25%，即￥   </w:t>
      </w:r>
      <w:r>
        <w:rPr>
          <w:rFonts w:ascii="楷体_GB2312"/>
          <w:color w:val="000000"/>
          <w:sz w:val="24"/>
        </w:rPr>
        <w:t>元，大写：</w:t>
      </w:r>
      <w:r>
        <w:rPr>
          <w:rFonts w:hint="eastAsia" w:ascii="楷体_GB2312"/>
          <w:color w:val="000000"/>
          <w:sz w:val="24"/>
        </w:rPr>
        <w:t xml:space="preserve">        </w:t>
      </w:r>
      <w:r>
        <w:rPr>
          <w:rFonts w:ascii="楷体_GB2312"/>
          <w:color w:val="000000"/>
          <w:sz w:val="24"/>
        </w:rPr>
        <w:t>甲方所有支付款项采用转账方式进行支付。</w:t>
      </w:r>
    </w:p>
    <w:p>
      <w:pPr>
        <w:spacing w:line="360" w:lineRule="auto"/>
        <w:jc w:val="left"/>
        <w:rPr>
          <w:rFonts w:hint="eastAsia" w:ascii="楷体_GB2312"/>
          <w:color w:val="000000"/>
          <w:sz w:val="24"/>
        </w:rPr>
      </w:pPr>
      <w:r>
        <w:rPr>
          <w:rFonts w:hint="eastAsia" w:ascii="楷体_GB2312"/>
          <w:color w:val="000000"/>
          <w:sz w:val="24"/>
        </w:rPr>
        <w:t>2、乙方给甲方提供发票前乙方必须携带每月维护、保养记录交甲方作为结算依据，如果每月的维护、保养记录不全或丢失三次以上，甲方将扣除合同中此季度的全部维保费。</w:t>
      </w:r>
    </w:p>
    <w:p>
      <w:pPr>
        <w:spacing w:line="360" w:lineRule="auto"/>
        <w:ind w:left="329" w:hanging="328" w:hangingChars="137"/>
        <w:jc w:val="left"/>
        <w:outlineLvl w:val="0"/>
        <w:rPr>
          <w:rFonts w:hint="eastAsia" w:ascii="楷体_GB2312"/>
          <w:color w:val="000000"/>
          <w:sz w:val="24"/>
        </w:rPr>
      </w:pPr>
      <w:r>
        <w:rPr>
          <w:rFonts w:hint="eastAsia" w:ascii="楷体_GB2312"/>
          <w:color w:val="000000"/>
          <w:sz w:val="24"/>
        </w:rPr>
        <w:t>3.由乙方自行购买维修人员的人身意外保险。</w:t>
      </w:r>
    </w:p>
    <w:p>
      <w:pPr>
        <w:widowControl/>
        <w:rPr>
          <w:rFonts w:hint="eastAsia" w:ascii="宋体" w:hAnsi="宋体"/>
          <w:kern w:val="0"/>
          <w:sz w:val="24"/>
        </w:rPr>
      </w:pPr>
      <w:r>
        <w:rPr>
          <w:rFonts w:hint="eastAsia" w:ascii="楷体_GB2312"/>
          <w:color w:val="000000"/>
          <w:sz w:val="24"/>
        </w:rPr>
        <w:t>4. 每家门店单独根据实际电梯数量单独开票，发票抬头为长沙市人人乐商业有限公司或者宁乡人人乐百货有限公司，所有款项采用转账方式支付。</w:t>
      </w:r>
    </w:p>
    <w:p>
      <w:pPr>
        <w:spacing w:line="360" w:lineRule="auto"/>
        <w:ind w:firstLine="480" w:firstLineChars="200"/>
        <w:jc w:val="left"/>
        <w:rPr>
          <w:rFonts w:ascii="宋体" w:hAnsi="宋体"/>
          <w:kern w:val="0"/>
          <w:sz w:val="24"/>
        </w:rPr>
      </w:pPr>
      <w:r>
        <w:rPr>
          <w:rFonts w:hint="eastAsia" w:ascii="楷体_GB2312"/>
          <w:sz w:val="24"/>
        </w:rPr>
        <w:t>乙方指定收款账户信息如下：</w:t>
      </w:r>
      <w:r>
        <w:rPr>
          <w:rFonts w:hint="eastAsia" w:ascii="宋体" w:hAnsi="宋体"/>
          <w:kern w:val="0"/>
          <w:sz w:val="24"/>
        </w:rPr>
        <w:t xml:space="preserve">     </w:t>
      </w:r>
      <w:r>
        <w:rPr>
          <w:rFonts w:ascii="宋体" w:hAnsi="宋体"/>
          <w:kern w:val="0"/>
          <w:sz w:val="24"/>
        </w:rPr>
        <w:t xml:space="preserve">  </w:t>
      </w:r>
    </w:p>
    <w:p>
      <w:pPr>
        <w:spacing w:line="580" w:lineRule="exact"/>
        <w:ind w:firstLine="480" w:firstLineChars="200"/>
        <w:rPr>
          <w:rFonts w:ascii="宋体" w:hAnsi="宋体"/>
          <w:kern w:val="0"/>
          <w:sz w:val="24"/>
        </w:rPr>
      </w:pPr>
      <w:r>
        <w:rPr>
          <w:rFonts w:hint="eastAsia" w:ascii="宋体" w:hAnsi="宋体"/>
          <w:kern w:val="0"/>
          <w:sz w:val="24"/>
        </w:rPr>
        <w:t>开户名称：</w:t>
      </w:r>
      <w:r>
        <w:rPr>
          <w:rFonts w:ascii="宋体" w:hAnsi="宋体"/>
          <w:kern w:val="0"/>
          <w:sz w:val="24"/>
        </w:rPr>
        <w:t xml:space="preserve">    </w:t>
      </w:r>
      <w:r>
        <w:rPr>
          <w:rFonts w:hint="eastAsia" w:ascii="宋体" w:hAnsi="宋体"/>
          <w:kern w:val="0"/>
          <w:sz w:val="24"/>
        </w:rPr>
        <w:t xml:space="preserve"> </w:t>
      </w:r>
      <w:r>
        <w:rPr>
          <w:rFonts w:ascii="宋体" w:hAnsi="宋体"/>
          <w:kern w:val="0"/>
          <w:sz w:val="24"/>
        </w:rPr>
        <w:t xml:space="preserve">       </w:t>
      </w:r>
    </w:p>
    <w:p>
      <w:pPr>
        <w:spacing w:line="580" w:lineRule="exact"/>
        <w:ind w:firstLine="480" w:firstLineChars="200"/>
        <w:rPr>
          <w:rFonts w:ascii="宋体" w:hAnsi="宋体"/>
          <w:kern w:val="0"/>
          <w:sz w:val="24"/>
        </w:rPr>
      </w:pPr>
      <w:r>
        <w:rPr>
          <w:rFonts w:ascii="宋体" w:hAnsi="宋体"/>
          <w:kern w:val="0"/>
          <w:sz w:val="24"/>
        </w:rPr>
        <w:t xml:space="preserve">开户银行：     </w:t>
      </w:r>
    </w:p>
    <w:p>
      <w:pPr>
        <w:spacing w:line="360" w:lineRule="auto"/>
        <w:ind w:firstLine="480" w:firstLineChars="200"/>
        <w:jc w:val="left"/>
        <w:rPr>
          <w:rFonts w:hint="eastAsia" w:ascii="宋体" w:hAnsi="宋体"/>
          <w:kern w:val="0"/>
          <w:sz w:val="24"/>
        </w:rPr>
      </w:pPr>
      <w:r>
        <w:rPr>
          <w:rFonts w:ascii="宋体" w:hAnsi="宋体"/>
          <w:kern w:val="0"/>
          <w:sz w:val="24"/>
        </w:rPr>
        <w:t>账</w:t>
      </w:r>
      <w:r>
        <w:rPr>
          <w:rFonts w:hint="eastAsia" w:ascii="宋体" w:hAnsi="宋体"/>
          <w:kern w:val="0"/>
          <w:sz w:val="24"/>
        </w:rPr>
        <w:t xml:space="preserve">    </w:t>
      </w:r>
      <w:r>
        <w:rPr>
          <w:rFonts w:ascii="宋体" w:hAnsi="宋体"/>
          <w:kern w:val="0"/>
          <w:sz w:val="24"/>
        </w:rPr>
        <w:t xml:space="preserve">号: </w:t>
      </w:r>
    </w:p>
    <w:p>
      <w:pPr>
        <w:spacing w:line="360" w:lineRule="auto"/>
        <w:jc w:val="left"/>
        <w:rPr>
          <w:rFonts w:hint="eastAsia" w:ascii="楷体_GB2312"/>
          <w:sz w:val="24"/>
        </w:rPr>
      </w:pPr>
      <w:r>
        <w:rPr>
          <w:rFonts w:hint="eastAsia" w:ascii="宋体" w:hAnsi="宋体"/>
          <w:sz w:val="24"/>
        </w:rPr>
        <w:t>四、</w:t>
      </w:r>
      <w:r>
        <w:rPr>
          <w:rFonts w:hint="eastAsia" w:ascii="楷体_GB2312"/>
          <w:sz w:val="24"/>
        </w:rPr>
        <w:t>未经甲方书面同意，乙方不得将本合同项目下的权利、义务的部分或全部转让给任何第三方。如乙方违反本约定，甲方有权立即终止合同，因此导致甲方损失的，乙方应承担全部赔偿责任。</w:t>
      </w:r>
    </w:p>
    <w:p>
      <w:pPr>
        <w:spacing w:line="360" w:lineRule="auto"/>
        <w:rPr>
          <w:rFonts w:hint="eastAsia" w:ascii="宋体" w:hAnsi="宋体"/>
          <w:sz w:val="24"/>
        </w:rPr>
      </w:pPr>
      <w:r>
        <w:rPr>
          <w:rFonts w:hint="eastAsia" w:ascii="宋体" w:hAnsi="宋体"/>
          <w:sz w:val="24"/>
        </w:rPr>
        <w:t xml:space="preserve">五、乙方权利及义务：   </w:t>
      </w:r>
    </w:p>
    <w:p>
      <w:pPr>
        <w:spacing w:line="360" w:lineRule="auto"/>
        <w:ind w:firstLine="480" w:firstLineChars="200"/>
        <w:rPr>
          <w:rFonts w:hint="eastAsia" w:ascii="宋体" w:hAnsi="宋体"/>
          <w:sz w:val="24"/>
        </w:rPr>
      </w:pPr>
      <w:r>
        <w:rPr>
          <w:rFonts w:hint="eastAsia" w:ascii="宋体" w:hAnsi="宋体"/>
          <w:sz w:val="24"/>
        </w:rPr>
        <w:t>1、每月由乙方安排持国家特种作业资格证书的专业人员对甲方合同内约定的电梯进行15天内（含15天）1次常规检查和例行保养，按国家行业标准保养规范进行全面的维护保养，确保电梯处于良好的运行状态。乙方对本合同内电梯设备提供免费维护保养服务，维护保养及维修包括但不限于机械部件：曳引机、涡轮蜗杆、驱动链、推力轴承、制动轮、电机、转子及轴承。扶手带、扶手带驱动链、扶手带导轨、滚轮、校正装置、梯阶、梯阶踏板、提阶轮、上下扶手回转链等部件的维护保养及维修。电气部分包括：控制柜、所有继电器、接触器、线圈、控制和电机电路的电阻、变压器、所有急停开关、扶手带保护开关、PLC维护编程等的维护保养及维修。</w:t>
      </w:r>
    </w:p>
    <w:p>
      <w:pPr>
        <w:spacing w:line="360" w:lineRule="auto"/>
        <w:ind w:firstLine="480" w:firstLineChars="200"/>
        <w:rPr>
          <w:rFonts w:hint="eastAsia" w:ascii="宋体" w:hAnsi="宋体"/>
          <w:sz w:val="24"/>
        </w:rPr>
      </w:pPr>
      <w:r>
        <w:rPr>
          <w:rFonts w:hint="eastAsia" w:ascii="宋体" w:hAnsi="宋体"/>
          <w:sz w:val="24"/>
        </w:rPr>
        <w:t>2、定期调校各安全开关、清理机房卫生、润滑各机件、检查机房、检查减速箱油质油位，检验扶梯所有线路，对各电气线路进行紧固检查并测量电机绝缘等。每次例保后，保养记录交甲方监督人员签字确认，并作为服务评估付款依据。合同保养期内每月，乙方提前三天向甲方提交下月的维护保养计划和维修报告交予甲方审核。保养、维修更换的电梯旧配件归甲方所有，乙方在对电梯的维修保养中须接受甲方监督并遵守甲方的相关规定。</w:t>
      </w:r>
    </w:p>
    <w:p>
      <w:pPr>
        <w:spacing w:line="360" w:lineRule="auto"/>
        <w:ind w:firstLine="480" w:firstLineChars="200"/>
        <w:rPr>
          <w:rFonts w:hint="eastAsia" w:ascii="宋体" w:hAnsi="宋体"/>
          <w:sz w:val="24"/>
        </w:rPr>
      </w:pPr>
      <w:r>
        <w:rPr>
          <w:rFonts w:hint="eastAsia" w:ascii="宋体" w:hAnsi="宋体"/>
          <w:sz w:val="24"/>
        </w:rPr>
        <w:t>3、乙方每季度和五一、十一、春节等国家法定节假日前10天对本合同内的电梯进行一次全面检查、保养、维护，内容包括：电梯的安全状态、主机状态、机身状态等。</w:t>
      </w:r>
    </w:p>
    <w:p>
      <w:pPr>
        <w:spacing w:line="360" w:lineRule="auto"/>
        <w:ind w:firstLine="480" w:firstLineChars="200"/>
        <w:rPr>
          <w:rFonts w:hint="eastAsia" w:ascii="宋体" w:hAnsi="宋体"/>
          <w:sz w:val="24"/>
        </w:rPr>
      </w:pPr>
      <w:r>
        <w:rPr>
          <w:rFonts w:hint="eastAsia" w:ascii="宋体" w:hAnsi="宋体"/>
          <w:sz w:val="24"/>
        </w:rPr>
        <w:t>4、乙方应代甲方向特种设备检验机构申请办理电梯、扶梯安全年检手续,协助特种设备质量安全检测所实施安全定期年检，确保一次性取得电梯的《特种设备使用合格证及标识》。年检费用按照特种设备检验机构统一标准收取。如因乙方原因造成不能一次性取得《特种设备使用合格证及标识》，由此产生的复检费及其他一切费用由乙方负责。</w:t>
      </w:r>
    </w:p>
    <w:p>
      <w:pPr>
        <w:spacing w:line="360" w:lineRule="auto"/>
        <w:ind w:firstLine="480" w:firstLineChars="200"/>
        <w:rPr>
          <w:rFonts w:hint="eastAsia" w:ascii="楷体_GB2312"/>
          <w:b/>
          <w:bCs/>
          <w:sz w:val="24"/>
        </w:rPr>
      </w:pPr>
      <w:r>
        <w:rPr>
          <w:rFonts w:hint="eastAsia" w:ascii="宋体" w:hAnsi="宋体"/>
          <w:sz w:val="24"/>
        </w:rPr>
        <w:t>5、乙方提供二十四小时紧急维修服务或意外性事故技术指导。乙方接到困人电话后，应及时派人员处理，必须在30分钟内赶到现场,如未能在30分钟内赶到现场的将扣除500元/次。一般维修工作须在到达现场后1小时内完成维修工作，不能在规定时间完成的，需提前知会甲方。乙方不得无故拖延，否则乙方必须按照合同规定承担违约责任，并按合同总金额30%赔偿甲方损失。</w:t>
      </w:r>
      <w:r>
        <w:rPr>
          <w:rFonts w:hint="eastAsia" w:ascii="楷体_GB2312"/>
          <w:b/>
          <w:sz w:val="24"/>
        </w:rPr>
        <w:t>（</w:t>
      </w:r>
      <w:r>
        <w:rPr>
          <w:rFonts w:hint="eastAsia" w:ascii="楷体_GB2312"/>
          <w:b/>
          <w:bCs/>
          <w:sz w:val="24"/>
        </w:rPr>
        <w:t xml:space="preserve">召修电话：    </w:t>
      </w:r>
      <w:r>
        <w:rPr>
          <w:rFonts w:hint="eastAsia" w:ascii="宋体" w:hAnsi="宋体"/>
          <w:b/>
          <w:sz w:val="24"/>
        </w:rPr>
        <w:t>、</w:t>
      </w:r>
      <w:r>
        <w:rPr>
          <w:rFonts w:hint="eastAsia" w:ascii="楷体_GB2312"/>
          <w:b/>
          <w:sz w:val="24"/>
        </w:rPr>
        <w:t xml:space="preserve">联系人:     ；甲方指定联系人：    、联系电话：       ） </w:t>
      </w:r>
      <w:r>
        <w:rPr>
          <w:rFonts w:hint="eastAsia" w:ascii="楷体_GB2312"/>
          <w:sz w:val="24"/>
        </w:rPr>
        <w:t xml:space="preserve">  </w:t>
      </w:r>
    </w:p>
    <w:p>
      <w:pPr>
        <w:spacing w:line="360" w:lineRule="auto"/>
        <w:ind w:firstLine="480" w:firstLineChars="200"/>
        <w:jc w:val="left"/>
        <w:rPr>
          <w:rFonts w:hint="eastAsia" w:ascii="宋体" w:hAnsi="宋体"/>
          <w:color w:val="FF0000"/>
          <w:sz w:val="24"/>
        </w:rPr>
      </w:pPr>
      <w:r>
        <w:rPr>
          <w:rFonts w:hint="eastAsia" w:ascii="宋体" w:hAnsi="宋体"/>
          <w:sz w:val="24"/>
        </w:rPr>
        <w:t>6、乙方对电梯设备中大故障进行维修时，如维修时间超过1小时的，应安排在夜间非营业时完成。必须在营业时间进行维修工作的，最长不得超过2小时，否则由此给甲方造成的损失，应由乙方承担。</w:t>
      </w:r>
    </w:p>
    <w:p>
      <w:pPr>
        <w:spacing w:line="360" w:lineRule="auto"/>
        <w:ind w:firstLine="480" w:firstLineChars="200"/>
        <w:rPr>
          <w:rFonts w:hint="eastAsia" w:ascii="宋体" w:hAnsi="宋体"/>
          <w:sz w:val="24"/>
        </w:rPr>
      </w:pPr>
      <w:r>
        <w:rPr>
          <w:rFonts w:hint="eastAsia" w:ascii="宋体" w:hAnsi="宋体"/>
          <w:sz w:val="24"/>
        </w:rPr>
        <w:t>7、乙方每季度对甲方各门店人员集中进行一次全方面培训，时间不少于四小时，并免费提供培训资料。具体培训时间由甲乙双方协商确定。乙方保证其拥有国家承认的特种设备保养、维修资格，其工作人员均有国家特种作业资格证书。</w:t>
      </w:r>
    </w:p>
    <w:p>
      <w:pPr>
        <w:spacing w:line="360" w:lineRule="auto"/>
        <w:ind w:firstLine="480" w:firstLineChars="200"/>
        <w:rPr>
          <w:rFonts w:hint="eastAsia" w:ascii="宋体" w:hAnsi="宋体"/>
          <w:sz w:val="24"/>
        </w:rPr>
      </w:pPr>
      <w:r>
        <w:rPr>
          <w:rFonts w:hint="eastAsia" w:ascii="宋体" w:hAnsi="宋体"/>
          <w:sz w:val="24"/>
        </w:rPr>
        <w:t>8、乙方对自动扶梯，自动人行道的例行维护保养、检查维修等工作，须安排在夜间甲方结束营业之后进行，特殊情况除外。乙方维修人员工作完毕后须由甲方人员验收签字确认后方可离开。营业结束时间；周一至周四22时30分；周五至周日23时00分。乙方在电梯维护保养、检查维修工作中发生的一切人身伤害事故、经济损失均由乙方承担全部赔偿责任。</w:t>
      </w:r>
    </w:p>
    <w:p>
      <w:pPr>
        <w:spacing w:line="360" w:lineRule="auto"/>
        <w:ind w:firstLine="480" w:firstLineChars="200"/>
        <w:jc w:val="left"/>
        <w:rPr>
          <w:rFonts w:hint="eastAsia" w:ascii="楷体_GB2312"/>
          <w:sz w:val="24"/>
        </w:rPr>
      </w:pPr>
      <w:r>
        <w:rPr>
          <w:rFonts w:hint="eastAsia" w:ascii="宋体" w:hAnsi="宋体"/>
          <w:sz w:val="24"/>
        </w:rPr>
        <w:t>9、</w:t>
      </w:r>
      <w:r>
        <w:rPr>
          <w:rFonts w:hint="eastAsia" w:ascii="楷体_GB2312"/>
          <w:sz w:val="24"/>
        </w:rPr>
        <w:t>乙方协助甲方每半年至少进行一次应急演练的预演，并做好演练记录。</w:t>
      </w:r>
    </w:p>
    <w:p>
      <w:pPr>
        <w:spacing w:line="360" w:lineRule="auto"/>
        <w:ind w:firstLine="480" w:firstLineChars="200"/>
        <w:jc w:val="left"/>
        <w:rPr>
          <w:rFonts w:hint="eastAsia" w:ascii="宋体" w:hAnsi="宋体"/>
          <w:sz w:val="24"/>
        </w:rPr>
      </w:pPr>
      <w:r>
        <w:rPr>
          <w:rFonts w:hint="eastAsia" w:ascii="宋体" w:hAnsi="宋体"/>
          <w:sz w:val="24"/>
        </w:rPr>
        <w:t>10、乙方安排持国家特种作业资格证书的专业人员必须持有意外保险，并提供复印件给甲方存档。</w:t>
      </w:r>
    </w:p>
    <w:p>
      <w:pPr>
        <w:spacing w:line="360" w:lineRule="auto"/>
        <w:ind w:firstLine="480" w:firstLineChars="200"/>
        <w:jc w:val="left"/>
        <w:rPr>
          <w:rFonts w:hint="eastAsia" w:ascii="楷体_GB2312"/>
          <w:sz w:val="24"/>
        </w:rPr>
      </w:pPr>
      <w:r>
        <w:rPr>
          <w:rFonts w:hint="eastAsia" w:ascii="宋体" w:hAnsi="宋体"/>
          <w:sz w:val="24"/>
        </w:rPr>
        <w:t>11、乙方接到甲方急修电话报修后，应在45分钟内到达现场排除故障，如没有按时到达现场处理(除不可抗力的因素如疫情、地震、洪灾及政府管控等外)须向甲方支付500元违约金/次，壹年内累加3次者，甲方将有权终止合同，并不再与乙方合作。</w:t>
      </w:r>
    </w:p>
    <w:p>
      <w:pPr>
        <w:spacing w:line="360" w:lineRule="auto"/>
        <w:rPr>
          <w:rFonts w:hint="eastAsia" w:ascii="宋体" w:hAnsi="宋体"/>
          <w:sz w:val="24"/>
        </w:rPr>
      </w:pPr>
      <w:r>
        <w:rPr>
          <w:rFonts w:hint="eastAsia" w:ascii="宋体" w:hAnsi="宋体"/>
          <w:sz w:val="24"/>
        </w:rPr>
        <w:t>六、甲方权利及义务：</w:t>
      </w:r>
    </w:p>
    <w:p>
      <w:pPr>
        <w:spacing w:line="360" w:lineRule="auto"/>
        <w:ind w:firstLine="480" w:firstLineChars="200"/>
        <w:rPr>
          <w:rFonts w:hint="eastAsia" w:ascii="宋体" w:hAnsi="宋体"/>
          <w:sz w:val="24"/>
        </w:rPr>
      </w:pPr>
      <w:r>
        <w:rPr>
          <w:rFonts w:hint="eastAsia" w:ascii="宋体" w:hAnsi="宋体"/>
          <w:sz w:val="24"/>
        </w:rPr>
        <w:t>1、甲方有责任及时向乙方支付保养费，并按国家特种设备管理规定管理和使用自动扶梯及自动人行道，杜绝不文明使用。</w:t>
      </w:r>
    </w:p>
    <w:p>
      <w:pPr>
        <w:spacing w:line="360" w:lineRule="auto"/>
        <w:ind w:firstLine="480" w:firstLineChars="200"/>
        <w:rPr>
          <w:rFonts w:hint="eastAsia" w:ascii="宋体" w:hAnsi="宋体"/>
          <w:sz w:val="24"/>
        </w:rPr>
      </w:pPr>
      <w:r>
        <w:rPr>
          <w:rFonts w:hint="eastAsia" w:ascii="宋体" w:hAnsi="宋体"/>
          <w:sz w:val="24"/>
        </w:rPr>
        <w:t>2、当自动扶梯及自动人行道有不正常现象时，甲方应立即通知乙方前来进行检修，乙方来甲方工作时，在不损害甲方利益的情况下，甲方应提供工作上的方便，并在工作报告上如实填写。</w:t>
      </w:r>
    </w:p>
    <w:p>
      <w:pPr>
        <w:spacing w:line="360" w:lineRule="auto"/>
        <w:ind w:firstLine="480" w:firstLineChars="200"/>
        <w:rPr>
          <w:rFonts w:hint="eastAsia" w:ascii="宋体" w:hAnsi="宋体"/>
          <w:sz w:val="24"/>
        </w:rPr>
      </w:pPr>
      <w:r>
        <w:rPr>
          <w:rFonts w:hint="eastAsia" w:ascii="宋体" w:hAnsi="宋体"/>
          <w:sz w:val="24"/>
        </w:rPr>
        <w:t>3、自动扶梯及自动人行道的使用人员，必须了解各类设备的功能，爱护使用。负责对扶手带、玻璃、门扇及轿箱壁等表面卫生清洁。</w:t>
      </w:r>
    </w:p>
    <w:p>
      <w:pPr>
        <w:spacing w:line="360" w:lineRule="auto"/>
        <w:ind w:firstLine="480" w:firstLineChars="200"/>
        <w:rPr>
          <w:rFonts w:hint="eastAsia" w:ascii="宋体" w:hAnsi="宋体"/>
          <w:sz w:val="24"/>
        </w:rPr>
      </w:pPr>
      <w:r>
        <w:rPr>
          <w:rFonts w:hint="eastAsia" w:ascii="宋体" w:hAnsi="宋体"/>
          <w:sz w:val="24"/>
        </w:rPr>
        <w:t>4、对于因甲方原因造成的损坏，由乙方提供维修和更换零件服务，但维修配件费用由甲方负责。对任何需要甲方支付费用的零配件更换，乙方应先征得甲方书面同意方可进行更换，完工后于下一个保养付款期向甲方结算费用。</w:t>
      </w:r>
    </w:p>
    <w:p>
      <w:pPr>
        <w:spacing w:line="360" w:lineRule="auto"/>
        <w:ind w:firstLine="480" w:firstLineChars="200"/>
        <w:rPr>
          <w:rFonts w:hint="eastAsia" w:ascii="宋体" w:hAnsi="宋体"/>
          <w:sz w:val="24"/>
        </w:rPr>
      </w:pPr>
      <w:r>
        <w:rPr>
          <w:rFonts w:hint="eastAsia" w:ascii="宋体" w:hAnsi="宋体"/>
          <w:sz w:val="24"/>
        </w:rPr>
        <w:t>5、在未征得乙方同意时，甲方不得擅自将自动扶梯及自动人行道交给第三方进行维修和更换配件等工作。如乙方未能履行合同义务，甲方有权聘请第三方对电梯进行紧急处理，由此产生的相关费用由乙方全部承担。</w:t>
      </w:r>
    </w:p>
    <w:p>
      <w:pPr>
        <w:spacing w:line="360" w:lineRule="auto"/>
        <w:ind w:firstLine="480" w:firstLineChars="200"/>
        <w:jc w:val="left"/>
        <w:rPr>
          <w:rFonts w:hint="eastAsia" w:ascii="宋体" w:hAnsi="宋体"/>
          <w:sz w:val="24"/>
        </w:rPr>
      </w:pPr>
      <w:r>
        <w:rPr>
          <w:rFonts w:hint="eastAsia" w:ascii="宋体" w:hAnsi="宋体"/>
          <w:sz w:val="24"/>
        </w:rPr>
        <w:t>6、甲方有权监督检查乙方的维修保养工作，乙方应予以积极配合。</w:t>
      </w:r>
    </w:p>
    <w:p>
      <w:pPr>
        <w:spacing w:line="360" w:lineRule="auto"/>
        <w:rPr>
          <w:rFonts w:hint="eastAsia" w:ascii="宋体" w:hAnsi="宋体"/>
          <w:sz w:val="24"/>
        </w:rPr>
      </w:pPr>
      <w:r>
        <w:rPr>
          <w:rFonts w:hint="eastAsia" w:ascii="宋体" w:hAnsi="宋体"/>
          <w:sz w:val="24"/>
        </w:rPr>
        <w:t>7、甲方由于经营需求需要减少合同中电梯的维保数量时,应提前一个星期知会乙方,乙方应无条件配合，同时甲方无需支付减少电梯的维保费以及任何违约金。七、部件更换</w:t>
      </w:r>
    </w:p>
    <w:p>
      <w:pPr>
        <w:spacing w:line="360" w:lineRule="auto"/>
        <w:ind w:firstLine="480" w:firstLineChars="200"/>
        <w:rPr>
          <w:rFonts w:hint="eastAsia" w:ascii="宋体" w:hAnsi="宋体"/>
          <w:sz w:val="24"/>
        </w:rPr>
      </w:pPr>
      <w:r>
        <w:rPr>
          <w:rFonts w:hint="eastAsia" w:ascii="宋体" w:hAnsi="宋体"/>
          <w:sz w:val="24"/>
        </w:rPr>
        <w:t>1、乙方严格按照合同对电梯设备半责任保养，工作执行前并于保养工作当日提交给甲方保养项目表，由甲方工程部门负责人签字确认。乙方对本合同内电梯设备提供免费维护保养服务</w:t>
      </w:r>
      <w:r>
        <w:rPr>
          <w:rFonts w:hint="eastAsia" w:ascii="宋体" w:hAnsi="宋体"/>
          <w:spacing w:val="12"/>
          <w:sz w:val="24"/>
        </w:rPr>
        <w:t>，所有磨损与锈蚀的电梯机械部件和电气零件等，由乙方负责实行半责任更换保养，单个配件价格在</w:t>
      </w:r>
      <w:r>
        <w:rPr>
          <w:rFonts w:hint="eastAsia" w:ascii="宋体" w:hAnsi="宋体"/>
          <w:b/>
          <w:spacing w:val="12"/>
          <w:sz w:val="24"/>
        </w:rPr>
        <w:t>200元</w:t>
      </w:r>
      <w:r>
        <w:rPr>
          <w:rFonts w:hint="eastAsia" w:ascii="宋体" w:hAnsi="宋体"/>
          <w:spacing w:val="12"/>
          <w:sz w:val="24"/>
        </w:rPr>
        <w:t>以内（含</w:t>
      </w:r>
      <w:r>
        <w:rPr>
          <w:rFonts w:hint="eastAsia" w:ascii="宋体" w:hAnsi="宋体"/>
          <w:b/>
          <w:spacing w:val="12"/>
          <w:sz w:val="24"/>
        </w:rPr>
        <w:t>200元</w:t>
      </w:r>
      <w:r>
        <w:rPr>
          <w:rFonts w:hint="eastAsia" w:ascii="宋体" w:hAnsi="宋体"/>
          <w:spacing w:val="12"/>
          <w:sz w:val="24"/>
        </w:rPr>
        <w:t>）的配件费用由乙方负责，</w:t>
      </w:r>
      <w:r>
        <w:rPr>
          <w:rFonts w:hint="eastAsia" w:ascii="宋体" w:hAnsi="宋体"/>
          <w:b/>
          <w:spacing w:val="12"/>
          <w:sz w:val="24"/>
        </w:rPr>
        <w:t>具体明细见附件;</w:t>
      </w:r>
      <w:r>
        <w:rPr>
          <w:rFonts w:hint="eastAsia" w:ascii="宋体" w:hAnsi="宋体"/>
          <w:spacing w:val="12"/>
          <w:sz w:val="24"/>
        </w:rPr>
        <w:t xml:space="preserve"> 单个配件价格超过</w:t>
      </w:r>
      <w:r>
        <w:rPr>
          <w:rFonts w:hint="eastAsia" w:ascii="宋体" w:hAnsi="宋体"/>
          <w:b/>
          <w:spacing w:val="12"/>
          <w:sz w:val="24"/>
        </w:rPr>
        <w:t>200</w:t>
      </w:r>
      <w:r>
        <w:rPr>
          <w:rFonts w:hint="eastAsia" w:ascii="宋体" w:hAnsi="宋体"/>
          <w:spacing w:val="12"/>
          <w:sz w:val="24"/>
        </w:rPr>
        <w:t>元的由甲方负责，乙方提供配件价格不得超过市场及同行业价格，甲方也可以自行购买，甲方有自主选择权</w:t>
      </w:r>
      <w:r>
        <w:rPr>
          <w:rFonts w:hint="eastAsia" w:ascii="宋体" w:hAnsi="宋体"/>
          <w:sz w:val="24"/>
        </w:rPr>
        <w:t>。</w:t>
      </w:r>
    </w:p>
    <w:p>
      <w:pPr>
        <w:spacing w:line="360" w:lineRule="auto"/>
        <w:ind w:firstLine="480" w:firstLineChars="200"/>
        <w:rPr>
          <w:rFonts w:hint="eastAsia" w:ascii="楷体_GB2312"/>
          <w:color w:val="000000"/>
          <w:sz w:val="24"/>
        </w:rPr>
      </w:pPr>
      <w:r>
        <w:rPr>
          <w:rFonts w:hint="eastAsia" w:ascii="楷体_GB2312"/>
          <w:color w:val="000000"/>
          <w:sz w:val="24"/>
        </w:rPr>
        <w:t>２、</w:t>
      </w:r>
      <w:r>
        <w:rPr>
          <w:rFonts w:hint="eastAsia" w:ascii="宋体" w:hAnsi="宋体"/>
          <w:sz w:val="24"/>
        </w:rPr>
        <w:t>乙方提出电梯配件损坏及系统故障问题，乙方不能单方面要求甲方更换电梯配件及系统，必须经双方专业人员现场确定并认可，如需更换较大型配件，双方可参照新检规进行判定，如乙方单方面以更换各类配件为由无故拖延保养及维修时间，不但要承担由此产生的一切安全责任，还</w:t>
      </w:r>
      <w:r>
        <w:rPr>
          <w:rFonts w:hint="eastAsia" w:ascii="楷体_GB2312"/>
          <w:color w:val="000000"/>
          <w:sz w:val="24"/>
        </w:rPr>
        <w:t>须向甲方支付500元违约金/次，此费用可在维保费中扣除，壹年内累加2次者，甲方将有权终止合同，并不再与乙方合作。</w:t>
      </w:r>
    </w:p>
    <w:p>
      <w:pPr>
        <w:spacing w:line="360" w:lineRule="auto"/>
        <w:rPr>
          <w:rFonts w:hint="eastAsia" w:ascii="宋体" w:hAnsi="宋体"/>
          <w:sz w:val="24"/>
        </w:rPr>
      </w:pPr>
      <w:r>
        <w:rPr>
          <w:rFonts w:hint="eastAsia" w:ascii="宋体" w:hAnsi="宋体"/>
          <w:sz w:val="24"/>
        </w:rPr>
        <w:t>八、侵权和违约责任：</w:t>
      </w:r>
    </w:p>
    <w:p>
      <w:pPr>
        <w:spacing w:line="360" w:lineRule="auto"/>
        <w:ind w:firstLine="360" w:firstLineChars="150"/>
        <w:rPr>
          <w:rFonts w:hint="eastAsia" w:ascii="宋体" w:hAnsi="宋体"/>
          <w:sz w:val="24"/>
        </w:rPr>
      </w:pPr>
      <w:r>
        <w:rPr>
          <w:rFonts w:hint="eastAsia" w:ascii="宋体" w:hAnsi="宋体"/>
          <w:sz w:val="24"/>
        </w:rPr>
        <w:t>1、若因乙方原因造成自动扶梯、货梯、客梯、自动人行道及其零部件的损坏，乙方应承担赔偿和修复责任。</w:t>
      </w:r>
    </w:p>
    <w:p>
      <w:pPr>
        <w:spacing w:line="360" w:lineRule="auto"/>
        <w:ind w:firstLine="360" w:firstLineChars="150"/>
        <w:rPr>
          <w:rFonts w:hint="eastAsia" w:ascii="宋体" w:hAnsi="宋体"/>
          <w:sz w:val="24"/>
        </w:rPr>
      </w:pPr>
      <w:r>
        <w:rPr>
          <w:rFonts w:hint="eastAsia" w:ascii="宋体" w:hAnsi="宋体"/>
          <w:sz w:val="24"/>
        </w:rPr>
        <w:t>2、若因乙方维保、维修过程中造成乙方自身和甲方或第三方人身损害或财产损失的，乙方应承担全部赔偿责任。</w:t>
      </w:r>
    </w:p>
    <w:p>
      <w:pPr>
        <w:spacing w:line="360" w:lineRule="auto"/>
        <w:ind w:firstLine="360" w:firstLineChars="150"/>
        <w:rPr>
          <w:rFonts w:hint="eastAsia" w:ascii="宋体" w:hAnsi="宋体"/>
          <w:sz w:val="24"/>
        </w:rPr>
      </w:pPr>
      <w:r>
        <w:rPr>
          <w:rFonts w:hint="eastAsia" w:ascii="宋体" w:hAnsi="宋体"/>
          <w:sz w:val="24"/>
        </w:rPr>
        <w:t>3、如遇乙方未能完全履行本合同所规定的乙方的职责，经甲方书面通知后，仍未能修正的，甲方可单方解除本合同，停止支付保养费，乙方须赔偿甲方由此而受到的全部损失，并向甲方支付年保养全金额30%的违约金。</w:t>
      </w:r>
    </w:p>
    <w:p>
      <w:pPr>
        <w:spacing w:line="360" w:lineRule="auto"/>
        <w:rPr>
          <w:rFonts w:hint="eastAsia" w:ascii="宋体" w:hAnsi="宋体"/>
          <w:sz w:val="24"/>
        </w:rPr>
      </w:pPr>
      <w:r>
        <w:rPr>
          <w:rFonts w:hint="eastAsia" w:ascii="宋体" w:hAnsi="宋体"/>
          <w:sz w:val="24"/>
        </w:rPr>
        <w:t>九、因本合同发生的或与本合同有关的任何争议，双方应尽可能友好协商解决，协商解决不成立的，则任何一方应向甲方所在地有管辖权的人民法院起诉。</w:t>
      </w:r>
    </w:p>
    <w:p>
      <w:pPr>
        <w:spacing w:line="360" w:lineRule="auto"/>
        <w:rPr>
          <w:rFonts w:hint="eastAsia" w:ascii="宋体" w:hAnsi="宋体"/>
          <w:sz w:val="24"/>
        </w:rPr>
      </w:pPr>
      <w:r>
        <w:rPr>
          <w:rFonts w:hint="eastAsia" w:ascii="宋体" w:hAnsi="宋体"/>
          <w:sz w:val="24"/>
        </w:rPr>
        <w:t>十、本合同自双方授权代表签字盖章之日起生效，合同一式四份，甲乙双方各执两份，具有同等法律效力。本合同未尽事宜，由双方另行商定。对本合同项下的任何变更、补充均须经双方协商一致并采用书面形式。本合同附件与本合同具有同等法律效力。</w:t>
      </w:r>
    </w:p>
    <w:p>
      <w:pPr>
        <w:snapToGrid w:val="0"/>
        <w:spacing w:line="520" w:lineRule="exact"/>
        <w:rPr>
          <w:rFonts w:ascii="仿宋_GB2312"/>
          <w:sz w:val="24"/>
        </w:rPr>
      </w:pPr>
      <w:r>
        <w:rPr>
          <w:rFonts w:hint="eastAsia" w:ascii="宋体" w:hAnsi="宋体"/>
          <w:sz w:val="24"/>
        </w:rPr>
        <w:t>十一、</w:t>
      </w:r>
      <w:r>
        <w:rPr>
          <w:rFonts w:hint="eastAsia" w:ascii="仿宋_GB2312"/>
          <w:sz w:val="24"/>
        </w:rPr>
        <w:t>甲方因业务需要，需提前解除本合同的，乙方应无条件配合甲方，但甲方需提前三十日书面通知乙方。</w:t>
      </w:r>
    </w:p>
    <w:p>
      <w:pPr>
        <w:spacing w:line="360" w:lineRule="auto"/>
        <w:rPr>
          <w:rFonts w:hint="eastAsia" w:ascii="宋体" w:hAnsi="宋体"/>
          <w:sz w:val="24"/>
        </w:rPr>
      </w:pPr>
    </w:p>
    <w:p>
      <w:pPr>
        <w:spacing w:line="360" w:lineRule="auto"/>
        <w:rPr>
          <w:rFonts w:hint="eastAsia" w:ascii="宋体" w:hAnsi="宋体"/>
          <w:sz w:val="24"/>
        </w:rPr>
      </w:pPr>
      <w:r>
        <w:rPr>
          <w:rFonts w:hint="eastAsia" w:ascii="宋体" w:hAnsi="宋体"/>
          <w:sz w:val="24"/>
        </w:rPr>
        <w:t>附件：  乙方营业执照           （复印件）</w:t>
      </w:r>
    </w:p>
    <w:p>
      <w:pPr>
        <w:spacing w:line="360" w:lineRule="auto"/>
        <w:rPr>
          <w:rFonts w:hint="eastAsia" w:ascii="宋体" w:hAnsi="宋体"/>
          <w:sz w:val="24"/>
        </w:rPr>
      </w:pPr>
      <w:r>
        <w:rPr>
          <w:rFonts w:hint="eastAsia" w:ascii="宋体" w:hAnsi="宋体"/>
          <w:sz w:val="24"/>
        </w:rPr>
        <w:t xml:space="preserve">        乙方税务登记证         （复印件）</w:t>
      </w:r>
    </w:p>
    <w:p>
      <w:pPr>
        <w:spacing w:line="360" w:lineRule="auto"/>
        <w:rPr>
          <w:rFonts w:hint="eastAsia" w:ascii="宋体" w:hAnsi="宋体"/>
          <w:sz w:val="24"/>
        </w:rPr>
      </w:pPr>
      <w:r>
        <w:rPr>
          <w:rFonts w:hint="eastAsia" w:ascii="宋体" w:hAnsi="宋体"/>
          <w:sz w:val="24"/>
        </w:rPr>
        <w:t xml:space="preserve">        乙方法人代表身份证明   （复印件）</w:t>
      </w:r>
    </w:p>
    <w:p>
      <w:pPr>
        <w:spacing w:line="360" w:lineRule="auto"/>
        <w:ind w:firstLine="960" w:firstLineChars="400"/>
        <w:rPr>
          <w:rFonts w:hint="eastAsia" w:ascii="宋体" w:hAnsi="宋体"/>
          <w:sz w:val="24"/>
        </w:rPr>
      </w:pPr>
      <w:r>
        <w:rPr>
          <w:rFonts w:hint="eastAsia" w:ascii="宋体" w:hAnsi="宋体"/>
          <w:sz w:val="24"/>
        </w:rPr>
        <w:t>电梯维修保养安全认证书 （复印件）</w:t>
      </w:r>
    </w:p>
    <w:p>
      <w:pPr>
        <w:spacing w:line="360" w:lineRule="auto"/>
        <w:ind w:firstLine="960" w:firstLineChars="400"/>
        <w:rPr>
          <w:rFonts w:hint="eastAsia" w:ascii="宋体" w:hAnsi="宋体"/>
          <w:sz w:val="24"/>
        </w:rPr>
      </w:pPr>
      <w:r>
        <w:rPr>
          <w:rFonts w:hint="eastAsia" w:ascii="宋体" w:hAnsi="宋体"/>
          <w:sz w:val="24"/>
        </w:rPr>
        <w:t>电梯维护保养记录表</w:t>
      </w:r>
    </w:p>
    <w:p>
      <w:pPr>
        <w:spacing w:line="360" w:lineRule="auto"/>
        <w:ind w:firstLine="960" w:firstLineChars="400"/>
        <w:rPr>
          <w:rFonts w:hint="eastAsia" w:ascii="宋体" w:hAnsi="宋体"/>
          <w:sz w:val="24"/>
        </w:rPr>
      </w:pPr>
      <w:r>
        <w:rPr>
          <w:rFonts w:hint="eastAsia" w:ascii="宋体" w:hAnsi="宋体"/>
          <w:sz w:val="24"/>
        </w:rPr>
        <w:t>电梯维护保养维修记录单</w:t>
      </w:r>
    </w:p>
    <w:p>
      <w:pPr>
        <w:spacing w:line="360" w:lineRule="auto"/>
        <w:ind w:firstLine="960" w:firstLineChars="400"/>
        <w:rPr>
          <w:rFonts w:hint="eastAsia" w:ascii="宋体" w:hAnsi="宋体"/>
          <w:sz w:val="24"/>
        </w:rPr>
      </w:pPr>
      <w:r>
        <w:rPr>
          <w:rFonts w:hint="eastAsia" w:ascii="宋体" w:hAnsi="宋体"/>
          <w:sz w:val="24"/>
        </w:rPr>
        <w:t>电梯定期检验记录单</w:t>
      </w:r>
    </w:p>
    <w:p>
      <w:pPr>
        <w:spacing w:line="360" w:lineRule="auto"/>
        <w:ind w:firstLine="960" w:firstLineChars="400"/>
        <w:jc w:val="left"/>
        <w:rPr>
          <w:rFonts w:hint="eastAsia" w:ascii="宋体" w:hAnsi="宋体"/>
          <w:sz w:val="24"/>
        </w:rPr>
      </w:pPr>
      <w:r>
        <w:rPr>
          <w:rFonts w:hint="eastAsia" w:ascii="宋体" w:hAnsi="宋体"/>
          <w:sz w:val="24"/>
        </w:rPr>
        <w:t>电、扶梯二百元以内免费配件清单</w:t>
      </w:r>
    </w:p>
    <w:p>
      <w:pPr>
        <w:spacing w:line="360" w:lineRule="auto"/>
        <w:ind w:firstLine="720" w:firstLineChars="300"/>
        <w:rPr>
          <w:rFonts w:hint="eastAsia" w:ascii="宋体" w:hAnsi="宋体"/>
          <w:sz w:val="24"/>
        </w:rPr>
      </w:pPr>
      <w:r>
        <w:rPr>
          <w:rFonts w:hint="eastAsia" w:ascii="宋体" w:hAnsi="宋体"/>
          <w:sz w:val="24"/>
        </w:rPr>
        <w:t xml:space="preserve">  维护、保养人员特种作业证（复印件）</w:t>
      </w:r>
    </w:p>
    <w:p>
      <w:pPr>
        <w:spacing w:line="360" w:lineRule="auto"/>
        <w:ind w:firstLine="960" w:firstLineChars="400"/>
        <w:jc w:val="left"/>
        <w:rPr>
          <w:rFonts w:hint="eastAsia" w:ascii="宋体" w:hAnsi="宋体"/>
          <w:sz w:val="24"/>
        </w:rPr>
      </w:pPr>
      <w:r>
        <w:rPr>
          <w:rFonts w:hint="eastAsia" w:ascii="宋体" w:hAnsi="宋体"/>
          <w:sz w:val="24"/>
        </w:rPr>
        <w:t>维护、保养作业人员意外保险单（复印件）</w:t>
      </w:r>
    </w:p>
    <w:p>
      <w:pPr>
        <w:spacing w:line="360" w:lineRule="auto"/>
        <w:ind w:firstLine="720" w:firstLineChars="300"/>
        <w:rPr>
          <w:rFonts w:hint="eastAsia" w:ascii="宋体" w:hAnsi="宋体"/>
          <w:sz w:val="24"/>
        </w:rPr>
      </w:pPr>
      <w:r>
        <w:rPr>
          <w:rFonts w:hint="eastAsia" w:ascii="宋体" w:hAnsi="宋体"/>
          <w:sz w:val="24"/>
        </w:rPr>
        <w:t xml:space="preserve">  乙方开户银行账号等相关资料（复印件）</w:t>
      </w:r>
    </w:p>
    <w:p>
      <w:pPr>
        <w:spacing w:line="360" w:lineRule="auto"/>
        <w:ind w:firstLine="720" w:firstLineChars="300"/>
        <w:rPr>
          <w:rFonts w:hint="eastAsia" w:ascii="宋体" w:hAnsi="宋体"/>
          <w:color w:val="000000"/>
          <w:sz w:val="24"/>
        </w:rPr>
      </w:pPr>
      <w:r>
        <w:rPr>
          <w:rFonts w:hint="eastAsia" w:ascii="宋体" w:hAnsi="宋体"/>
          <w:color w:val="000000"/>
          <w:sz w:val="24"/>
        </w:rPr>
        <w:t xml:space="preserve"> （乙方提供的所有资料均需加盖乙方公司的公章）</w:t>
      </w:r>
    </w:p>
    <w:p>
      <w:pPr>
        <w:spacing w:line="360" w:lineRule="auto"/>
        <w:rPr>
          <w:rFonts w:hint="eastAsia" w:ascii="宋体" w:hAnsi="宋体"/>
          <w:sz w:val="24"/>
        </w:rPr>
      </w:pPr>
    </w:p>
    <w:p>
      <w:pPr>
        <w:spacing w:line="360" w:lineRule="auto"/>
        <w:rPr>
          <w:rFonts w:hint="eastAsia" w:ascii="宋体" w:hAnsi="宋体"/>
          <w:sz w:val="24"/>
        </w:rPr>
      </w:pPr>
      <w:r>
        <w:rPr>
          <w:rFonts w:hint="eastAsia" w:ascii="宋体" w:hAnsi="宋体"/>
          <w:sz w:val="24"/>
        </w:rPr>
        <w:t>（以下无正文）</w:t>
      </w:r>
    </w:p>
    <w:p>
      <w:pPr>
        <w:spacing w:line="360" w:lineRule="auto"/>
        <w:rPr>
          <w:rFonts w:hint="eastAsia" w:ascii="宋体" w:hAnsi="宋体"/>
          <w:sz w:val="24"/>
        </w:rPr>
      </w:pPr>
    </w:p>
    <w:p>
      <w:pPr>
        <w:spacing w:line="360" w:lineRule="auto"/>
        <w:rPr>
          <w:rFonts w:hint="eastAsia" w:ascii="宋体" w:hAnsi="宋体"/>
          <w:sz w:val="24"/>
        </w:rPr>
      </w:pPr>
    </w:p>
    <w:p>
      <w:pPr>
        <w:spacing w:line="360" w:lineRule="auto"/>
        <w:rPr>
          <w:rFonts w:hint="eastAsia" w:ascii="宋体" w:hAnsi="宋体"/>
          <w:sz w:val="24"/>
        </w:rPr>
      </w:pPr>
      <w:r>
        <w:rPr>
          <w:rFonts w:hint="eastAsia" w:ascii="宋体" w:hAnsi="宋体"/>
          <w:sz w:val="24"/>
        </w:rPr>
        <w:t>甲方（盖章）：                            乙方（盖章）：</w:t>
      </w:r>
    </w:p>
    <w:p>
      <w:pPr>
        <w:spacing w:line="360" w:lineRule="auto"/>
        <w:rPr>
          <w:rFonts w:hint="eastAsia"/>
        </w:rPr>
      </w:pPr>
      <w:r>
        <w:rPr>
          <w:rFonts w:hint="eastAsia" w:ascii="宋体" w:hAnsi="宋体"/>
          <w:sz w:val="24"/>
        </w:rPr>
        <w:t>代表人签字：                             代表人签字：</w:t>
      </w:r>
    </w:p>
    <w:p>
      <w:pPr>
        <w:spacing w:line="360" w:lineRule="auto"/>
        <w:rPr>
          <w:rFonts w:hint="eastAsia" w:ascii="宋体" w:hAnsi="宋体"/>
          <w:sz w:val="24"/>
        </w:rPr>
      </w:pPr>
      <w:r>
        <w:rPr>
          <w:rFonts w:hint="eastAsia" w:ascii="宋体" w:hAnsi="宋体"/>
          <w:sz w:val="24"/>
        </w:rPr>
        <w:t>日期：                                   日期：</w:t>
      </w:r>
    </w:p>
    <w:p>
      <w:pPr>
        <w:spacing w:line="360" w:lineRule="auto"/>
        <w:rPr>
          <w:rFonts w:hint="eastAsia"/>
        </w:rPr>
      </w:pPr>
    </w:p>
    <w:p>
      <w:pPr>
        <w:spacing w:line="360" w:lineRule="auto"/>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5MTk3NDRlOGRjNWNmMzQyNzY5NDE0ZWZiYWRhODEifQ=="/>
  </w:docVars>
  <w:rsids>
    <w:rsidRoot w:val="00A8649C"/>
    <w:rsid w:val="00457335"/>
    <w:rsid w:val="006C1977"/>
    <w:rsid w:val="00933F68"/>
    <w:rsid w:val="00A8649C"/>
    <w:rsid w:val="40BC0C22"/>
    <w:rsid w:val="4B820640"/>
    <w:rsid w:val="684544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628</Words>
  <Characters>3585</Characters>
  <Lines>29</Lines>
  <Paragraphs>8</Paragraphs>
  <TotalTime>7</TotalTime>
  <ScaleCrop>false</ScaleCrop>
  <LinksUpToDate>false</LinksUpToDate>
  <CharactersWithSpaces>4205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2022-12-08T00:16:00Z</dcterms:created>
  <dc:creator>rrl</dc:creator>
  <cp:lastModifiedBy>Administrator</cp:lastModifiedBy>
  <dcterms:modified xsi:type="dcterms:W3CDTF">2023-06-05T01:23:55Z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1CD5A294E33B4874B69B0AB160A2DDC7_12</vt:lpwstr>
  </property>
</Properties>
</file>